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5" w:rsidRDefault="004048C5" w:rsidP="00CD4A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23" w:rsidRDefault="00CD4A70" w:rsidP="00CD4A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70">
        <w:rPr>
          <w:rFonts w:ascii="Times New Roman" w:hAnsi="Times New Roman" w:cs="Times New Roman"/>
          <w:b/>
          <w:sz w:val="24"/>
          <w:szCs w:val="24"/>
        </w:rPr>
        <w:t>UTİ513 Bilgi, Güvenlik ve Mahremiyet</w:t>
      </w:r>
    </w:p>
    <w:p w:rsidR="00CD4A70" w:rsidRDefault="00CD4A70" w:rsidP="00AE35F3">
      <w:pPr>
        <w:pStyle w:val="NoSpacing"/>
        <w:ind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 SINAVI</w:t>
      </w:r>
    </w:p>
    <w:p w:rsidR="00CD4A70" w:rsidRDefault="00CD4A70" w:rsidP="00AE35F3">
      <w:pPr>
        <w:pStyle w:val="NoSpacing"/>
        <w:ind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Ocak 2014</w:t>
      </w:r>
    </w:p>
    <w:p w:rsidR="00CD4A70" w:rsidRDefault="00CD4A70" w:rsidP="00AE35F3">
      <w:pPr>
        <w:pStyle w:val="NoSpacing"/>
        <w:ind w:right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70" w:rsidRDefault="00CD4A70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</w:t>
      </w:r>
      <w:r w:rsidR="000415F1">
        <w:rPr>
          <w:rFonts w:ascii="Times New Roman" w:hAnsi="Times New Roman" w:cs="Times New Roman"/>
          <w:b/>
          <w:sz w:val="24"/>
          <w:szCs w:val="24"/>
        </w:rPr>
        <w:t xml:space="preserve"> A4 yardım </w:t>
      </w:r>
      <w:proofErr w:type="gramStart"/>
      <w:r w:rsidR="000415F1">
        <w:rPr>
          <w:rFonts w:ascii="Times New Roman" w:hAnsi="Times New Roman" w:cs="Times New Roman"/>
          <w:b/>
          <w:sz w:val="24"/>
          <w:szCs w:val="24"/>
        </w:rPr>
        <w:t>kağıdı</w:t>
      </w:r>
      <w:proofErr w:type="gramEnd"/>
      <w:r w:rsidR="000415F1">
        <w:rPr>
          <w:rFonts w:ascii="Times New Roman" w:hAnsi="Times New Roman" w:cs="Times New Roman"/>
          <w:b/>
          <w:sz w:val="24"/>
          <w:szCs w:val="24"/>
        </w:rPr>
        <w:t>. İstediğiniz 4</w:t>
      </w:r>
      <w:r>
        <w:rPr>
          <w:rFonts w:ascii="Times New Roman" w:hAnsi="Times New Roman" w:cs="Times New Roman"/>
          <w:b/>
          <w:sz w:val="24"/>
          <w:szCs w:val="24"/>
        </w:rPr>
        <w:t xml:space="preserve"> soruyu yanıtlayınız.</w:t>
      </w:r>
      <w:r w:rsidR="00AE35F3">
        <w:rPr>
          <w:rFonts w:ascii="Times New Roman" w:hAnsi="Times New Roman" w:cs="Times New Roman"/>
          <w:b/>
          <w:sz w:val="24"/>
          <w:szCs w:val="24"/>
        </w:rPr>
        <w:t xml:space="preserve"> Süre 120 dakika.</w:t>
      </w:r>
    </w:p>
    <w:p w:rsidR="008A5D25" w:rsidRDefault="008A5D25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</w:p>
    <w:p w:rsidR="00584D29" w:rsidRDefault="008A5D25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Theft of intellectual property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Theft of other (proprietary) info including customer r</w:t>
      </w:r>
      <w:r w:rsidR="005C284D" w:rsidRPr="005C284D">
        <w:rPr>
          <w:sz w:val="22"/>
          <w:szCs w:val="22"/>
        </w:rPr>
        <w:t>ecords, financial records, etc.</w:t>
      </w:r>
      <w:r w:rsidRPr="005C284D">
        <w:rPr>
          <w:sz w:val="22"/>
          <w:szCs w:val="22"/>
        </w:rPr>
        <w:t xml:space="preserve"> </w:t>
      </w:r>
    </w:p>
    <w:p w:rsidR="005C284D" w:rsidRPr="005C284D" w:rsidRDefault="005C284D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Denial of service attacks</w:t>
      </w:r>
      <w:r w:rsidR="00584D29" w:rsidRPr="005C284D">
        <w:rPr>
          <w:sz w:val="22"/>
          <w:szCs w:val="22"/>
        </w:rPr>
        <w:t xml:space="preserve"> 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Virus</w:t>
      </w:r>
      <w:r w:rsidR="005C284D" w:rsidRPr="005C284D">
        <w:rPr>
          <w:sz w:val="22"/>
          <w:szCs w:val="22"/>
        </w:rPr>
        <w:t>, worms or other malicious code</w:t>
      </w:r>
    </w:p>
    <w:p w:rsidR="00584D29" w:rsidRPr="005C284D" w:rsidRDefault="005C284D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Fraud (credit card fraud, etc.)</w:t>
      </w:r>
      <w:r w:rsidR="00584D29" w:rsidRPr="005C284D">
        <w:rPr>
          <w:sz w:val="22"/>
          <w:szCs w:val="22"/>
        </w:rPr>
        <w:t xml:space="preserve"> 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Spam e-mail. Computer as communications tool.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Phishing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Unauthorized access to/use of i</w:t>
      </w:r>
      <w:r w:rsidR="005C284D" w:rsidRPr="005C284D">
        <w:rPr>
          <w:sz w:val="22"/>
          <w:szCs w:val="22"/>
        </w:rPr>
        <w:t>nformation, systems or networks</w:t>
      </w:r>
    </w:p>
    <w:p w:rsidR="00584D29" w:rsidRPr="005C284D" w:rsidRDefault="00584D29" w:rsidP="00AE35F3">
      <w:pPr>
        <w:pStyle w:val="ListParagraph"/>
        <w:numPr>
          <w:ilvl w:val="0"/>
          <w:numId w:val="2"/>
        </w:numPr>
        <w:ind w:right="543"/>
        <w:rPr>
          <w:sz w:val="22"/>
          <w:szCs w:val="22"/>
        </w:rPr>
      </w:pPr>
      <w:r w:rsidRPr="005C284D">
        <w:rPr>
          <w:sz w:val="22"/>
          <w:szCs w:val="22"/>
        </w:rPr>
        <w:t>Sabotage: deliberate disruption, deletion, or destruction of in</w:t>
      </w:r>
      <w:r w:rsidR="005C284D" w:rsidRPr="005C284D">
        <w:rPr>
          <w:sz w:val="22"/>
          <w:szCs w:val="22"/>
        </w:rPr>
        <w:t>formation, systems, or networks</w:t>
      </w:r>
      <w:r w:rsidRPr="005C284D">
        <w:rPr>
          <w:sz w:val="22"/>
          <w:szCs w:val="22"/>
        </w:rPr>
        <w:tab/>
      </w:r>
    </w:p>
    <w:p w:rsidR="00584D29" w:rsidRPr="005C284D" w:rsidRDefault="005C284D" w:rsidP="00AE35F3">
      <w:pPr>
        <w:pStyle w:val="ListParagraph"/>
        <w:numPr>
          <w:ilvl w:val="0"/>
          <w:numId w:val="2"/>
        </w:numPr>
        <w:ind w:right="543"/>
        <w:rPr>
          <w:rFonts w:ascii="Times New Roman" w:hAnsi="Times New Roman"/>
          <w:sz w:val="22"/>
          <w:szCs w:val="22"/>
        </w:rPr>
      </w:pPr>
      <w:r w:rsidRPr="005C284D">
        <w:rPr>
          <w:sz w:val="22"/>
          <w:szCs w:val="22"/>
        </w:rPr>
        <w:t>Web site defacement</w:t>
      </w:r>
    </w:p>
    <w:p w:rsidR="005C284D" w:rsidRPr="005C284D" w:rsidRDefault="005C284D" w:rsidP="00AE35F3">
      <w:pPr>
        <w:pStyle w:val="ListParagraph"/>
        <w:ind w:left="1080" w:right="543" w:firstLine="0"/>
        <w:rPr>
          <w:rFonts w:ascii="Times New Roman" w:hAnsi="Times New Roman"/>
          <w:sz w:val="22"/>
          <w:szCs w:val="22"/>
        </w:rPr>
      </w:pPr>
    </w:p>
    <w:p w:rsidR="008A5D25" w:rsidRDefault="00584D29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Yukarda</w:t>
      </w:r>
      <w:r w:rsidR="008A5D25">
        <w:rPr>
          <w:rFonts w:ascii="Times New Roman" w:hAnsi="Times New Roman" w:cs="Times New Roman"/>
          <w:sz w:val="24"/>
          <w:szCs w:val="24"/>
        </w:rPr>
        <w:t xml:space="preserve"> listelenen siber suçların her biri için </w:t>
      </w:r>
    </w:p>
    <w:p w:rsidR="008A5D25" w:rsidRDefault="008A5D25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 w:rsidRPr="004048C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D2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ilgisayarın hedef mi, depolama ortamı mı yoksa iletişim</w:t>
      </w:r>
      <w:r w:rsidR="000415F1">
        <w:rPr>
          <w:rFonts w:ascii="Times New Roman" w:hAnsi="Times New Roman" w:cs="Times New Roman"/>
          <w:sz w:val="24"/>
          <w:szCs w:val="24"/>
        </w:rPr>
        <w:t xml:space="preserve"> aracı mı olarak kullanıldığını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8A5D25" w:rsidRPr="00584D29" w:rsidRDefault="008A5D25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 w:rsidRPr="004048C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D29">
        <w:rPr>
          <w:rFonts w:ascii="Times New Roman" w:hAnsi="Times New Roman" w:cs="Times New Roman"/>
          <w:sz w:val="24"/>
          <w:szCs w:val="24"/>
        </w:rPr>
        <w:t>Bilgisayarların hedef olduğu siber suçlar için saldırının hangi güvenlik servisine ya da servislerine karşı  (gizlilik, bütünlük, mahremiyet, erişilebilirlik (</w:t>
      </w:r>
      <w:proofErr w:type="spellStart"/>
      <w:r w:rsidR="00584D29">
        <w:rPr>
          <w:rFonts w:ascii="Times New Roman" w:hAnsi="Times New Roman" w:cs="Times New Roman"/>
          <w:i/>
          <w:sz w:val="24"/>
          <w:szCs w:val="24"/>
        </w:rPr>
        <w:t>availability</w:t>
      </w:r>
      <w:proofErr w:type="spellEnd"/>
      <w:r w:rsidR="00584D29">
        <w:rPr>
          <w:rFonts w:ascii="Times New Roman" w:hAnsi="Times New Roman" w:cs="Times New Roman"/>
          <w:i/>
          <w:sz w:val="24"/>
          <w:szCs w:val="24"/>
        </w:rPr>
        <w:t>)</w:t>
      </w:r>
      <w:r w:rsidR="00584D29">
        <w:rPr>
          <w:rFonts w:ascii="Times New Roman" w:hAnsi="Times New Roman" w:cs="Times New Roman"/>
          <w:sz w:val="24"/>
          <w:szCs w:val="24"/>
        </w:rPr>
        <w:t>) yapıldığını yazınız.</w:t>
      </w:r>
    </w:p>
    <w:p w:rsidR="008A5D25" w:rsidRDefault="008A5D25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</w:p>
    <w:p w:rsidR="001D4977" w:rsidRDefault="001D4977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FD6EE7" w:rsidRPr="001D4977" w:rsidRDefault="00FD6EE7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592C59F" wp14:editId="0AB42F9E">
            <wp:extent cx="5265420" cy="2518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8FE8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25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977" w:rsidRDefault="00FD6EE7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 w:rsidRPr="00FD6EE7">
        <w:rPr>
          <w:rFonts w:ascii="Times New Roman" w:hAnsi="Times New Roman" w:cs="Times New Roman"/>
          <w:sz w:val="24"/>
          <w:szCs w:val="24"/>
        </w:rPr>
        <w:t>Yukarda verilen</w:t>
      </w:r>
      <w:r w:rsidR="004048C5">
        <w:rPr>
          <w:rFonts w:ascii="Times New Roman" w:hAnsi="Times New Roman" w:cs="Times New Roman"/>
          <w:sz w:val="24"/>
          <w:szCs w:val="24"/>
        </w:rPr>
        <w:t xml:space="preserve"> erişim matrisi için </w:t>
      </w:r>
    </w:p>
    <w:p w:rsidR="004048C5" w:rsidRDefault="004048C5" w:rsidP="00AE35F3">
      <w:pPr>
        <w:pStyle w:val="NoSpacing"/>
        <w:numPr>
          <w:ilvl w:val="0"/>
          <w:numId w:val="3"/>
        </w:numPr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Erişim kontrol listesini çiziniz. </w:t>
      </w:r>
      <w:r w:rsidR="000415F1">
        <w:rPr>
          <w:rFonts w:ascii="Times New Roman" w:hAnsi="Times New Roman" w:cs="Times New Roman"/>
          <w:b/>
          <w:sz w:val="24"/>
          <w:szCs w:val="24"/>
        </w:rPr>
        <w:t>(9</w:t>
      </w:r>
      <w:r w:rsidRPr="004048C5">
        <w:rPr>
          <w:rFonts w:ascii="Times New Roman" w:hAnsi="Times New Roman" w:cs="Times New Roman"/>
          <w:b/>
          <w:sz w:val="24"/>
          <w:szCs w:val="24"/>
        </w:rPr>
        <w:t xml:space="preserve"> p)</w:t>
      </w:r>
    </w:p>
    <w:p w:rsidR="004048C5" w:rsidRDefault="004048C5" w:rsidP="00AE35F3">
      <w:pPr>
        <w:pStyle w:val="NoSpacing"/>
        <w:numPr>
          <w:ilvl w:val="0"/>
          <w:numId w:val="3"/>
        </w:numPr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Yetenek Listesini (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8C5">
        <w:rPr>
          <w:rFonts w:ascii="Times New Roman" w:hAnsi="Times New Roman" w:cs="Times New Roman"/>
          <w:i/>
          <w:sz w:val="24"/>
          <w:szCs w:val="24"/>
        </w:rPr>
        <w:t>Capability</w:t>
      </w:r>
      <w:proofErr w:type="spellEnd"/>
      <w:r w:rsidRPr="004048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48C5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çiziniz. </w:t>
      </w:r>
      <w:r w:rsidR="000415F1">
        <w:rPr>
          <w:rFonts w:ascii="Times New Roman" w:hAnsi="Times New Roman" w:cs="Times New Roman"/>
          <w:b/>
          <w:sz w:val="24"/>
          <w:szCs w:val="24"/>
        </w:rPr>
        <w:t>(9</w:t>
      </w:r>
      <w:r w:rsidRPr="004048C5">
        <w:rPr>
          <w:rFonts w:ascii="Times New Roman" w:hAnsi="Times New Roman" w:cs="Times New Roman"/>
          <w:b/>
          <w:sz w:val="24"/>
          <w:szCs w:val="24"/>
        </w:rPr>
        <w:t xml:space="preserve"> 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C5" w:rsidRPr="00FD6EE7" w:rsidRDefault="004048C5" w:rsidP="00AE35F3">
      <w:pPr>
        <w:pStyle w:val="NoSpacing"/>
        <w:numPr>
          <w:ilvl w:val="0"/>
          <w:numId w:val="3"/>
        </w:numPr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iki yaklaşımın avantaj ve dezavantajlarını, karşılaştırmalı olarak yazınız. </w:t>
      </w:r>
      <w:r w:rsidR="000415F1">
        <w:rPr>
          <w:rFonts w:ascii="Times New Roman" w:hAnsi="Times New Roman" w:cs="Times New Roman"/>
          <w:b/>
          <w:sz w:val="24"/>
          <w:szCs w:val="24"/>
        </w:rPr>
        <w:t>(7</w:t>
      </w:r>
      <w:r w:rsidRPr="004048C5">
        <w:rPr>
          <w:rFonts w:ascii="Times New Roman" w:hAnsi="Times New Roman" w:cs="Times New Roman"/>
          <w:b/>
          <w:sz w:val="24"/>
          <w:szCs w:val="24"/>
        </w:rPr>
        <w:t xml:space="preserve"> p)</w:t>
      </w:r>
    </w:p>
    <w:p w:rsidR="00FD6EE7" w:rsidRDefault="00FD6EE7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</w:p>
    <w:p w:rsidR="004048C5" w:rsidRDefault="004048C5" w:rsidP="00AE35F3">
      <w:pPr>
        <w:pStyle w:val="NoSpacing"/>
        <w:ind w:right="543"/>
        <w:rPr>
          <w:rFonts w:ascii="Times New Roman" w:hAnsi="Times New Roman" w:cs="Times New Roman"/>
          <w:b/>
          <w:sz w:val="24"/>
          <w:szCs w:val="24"/>
        </w:rPr>
      </w:pPr>
    </w:p>
    <w:p w:rsidR="001D4977" w:rsidRDefault="001D4977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a) </w:t>
      </w:r>
      <w:r>
        <w:rPr>
          <w:rFonts w:ascii="Times New Roman" w:hAnsi="Times New Roman" w:cs="Times New Roman"/>
          <w:sz w:val="24"/>
          <w:szCs w:val="24"/>
        </w:rPr>
        <w:t>Üç temel saldırgan sınıfını  (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77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spellStart"/>
      <w:r w:rsidRPr="001D4977">
        <w:rPr>
          <w:rFonts w:ascii="Times New Roman" w:hAnsi="Times New Roman" w:cs="Times New Roman"/>
          <w:i/>
          <w:sz w:val="24"/>
          <w:szCs w:val="24"/>
        </w:rPr>
        <w:t>classes</w:t>
      </w:r>
      <w:proofErr w:type="spellEnd"/>
      <w:r w:rsidRPr="001D4977">
        <w:rPr>
          <w:rFonts w:ascii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intruders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yazıp, her birini kısaca açıklayınız.</w:t>
      </w:r>
    </w:p>
    <w:p w:rsidR="001D4977" w:rsidRDefault="001D4977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 w:rsidRPr="001D497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Bir Sızma Tespit Sisteminde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>)  yer alan üç temel bileşeni ve görevlerini yazınız.</w:t>
      </w:r>
    </w:p>
    <w:p w:rsidR="001D4977" w:rsidRDefault="001D4977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 w:rsidRPr="001D497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Host-tabanlı Sızma Tespit Sistemleri ile Ağ-tabanlı Sızma Tespit Sistemleri arasındaki farkları yazınız.</w:t>
      </w:r>
    </w:p>
    <w:p w:rsidR="001D4977" w:rsidRPr="001D4977" w:rsidRDefault="001D4977" w:rsidP="00AE35F3">
      <w:pPr>
        <w:pStyle w:val="NoSpacing"/>
        <w:ind w:right="543"/>
        <w:rPr>
          <w:rFonts w:ascii="Times New Roman" w:hAnsi="Times New Roman" w:cs="Times New Roman"/>
          <w:sz w:val="24"/>
          <w:szCs w:val="24"/>
        </w:rPr>
      </w:pPr>
      <w:r w:rsidRPr="001D497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Bir Sızma Tespit Sisteminin sağladığı üç temel faydayı yazınız.</w:t>
      </w:r>
    </w:p>
    <w:p w:rsidR="001D4977" w:rsidRDefault="001D4977" w:rsidP="00CD4A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48C5" w:rsidRDefault="004048C5" w:rsidP="00A225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52B" w:rsidRPr="00BD3734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D3734">
        <w:rPr>
          <w:rFonts w:ascii="Times New Roman" w:hAnsi="Times New Roman" w:cs="Times New Roman"/>
          <w:sz w:val="24"/>
          <w:szCs w:val="24"/>
        </w:rPr>
        <w:t xml:space="preserve">SMTP (Simple Mail Transfer Protocol) is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mail </w:t>
      </w:r>
    </w:p>
    <w:p w:rsidR="00A2252B" w:rsidRPr="00BD3734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D373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TCP. A TCP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is set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agent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2252B" w:rsidRPr="00BD3734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D3734">
        <w:rPr>
          <w:rFonts w:ascii="Times New Roman" w:hAnsi="Times New Roman" w:cs="Times New Roman"/>
          <w:sz w:val="24"/>
          <w:szCs w:val="24"/>
        </w:rPr>
        <w:t>server</w:t>
      </w:r>
      <w:proofErr w:type="gramEnd"/>
      <w:r w:rsidRPr="00BD3734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734">
        <w:rPr>
          <w:rFonts w:ascii="Times New Roman" w:hAnsi="Times New Roman" w:cs="Times New Roman"/>
          <w:sz w:val="24"/>
          <w:szCs w:val="24"/>
        </w:rPr>
        <w:t>server</w:t>
      </w:r>
      <w:proofErr w:type="gram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listens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on TCP port 25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52B" w:rsidRPr="00BD3734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is on a TCP port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1023.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Suppose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2B" w:rsidRPr="00BD3734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D3734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packet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inbound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outbound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SMTP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52B" w:rsidRDefault="00A2252B" w:rsidP="00A225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7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set:</w:t>
      </w:r>
    </w:p>
    <w:p w:rsidR="00BD3734" w:rsidRDefault="00BD3734" w:rsidP="00A225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585944" cy="1318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8A2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2B" w:rsidRDefault="00A2252B" w:rsidP="00CD4A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734" w:rsidRPr="00BD3734" w:rsidRDefault="00BD3734" w:rsidP="00BD3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37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D37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>.</w:t>
      </w:r>
      <w:r w:rsidRPr="00BD3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734" w:rsidRPr="004048C5" w:rsidRDefault="00BD3734" w:rsidP="00AE35F3">
      <w:pPr>
        <w:pStyle w:val="NoSpacing"/>
        <w:ind w:right="685"/>
        <w:rPr>
          <w:rFonts w:ascii="Times New Roman" w:hAnsi="Times New Roman" w:cs="Times New Roman"/>
          <w:sz w:val="24"/>
          <w:szCs w:val="24"/>
        </w:rPr>
      </w:pPr>
      <w:r w:rsidRPr="00BD3734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has IP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172.16.1.1</w:t>
      </w:r>
      <w:r w:rsidR="004048C5">
        <w:rPr>
          <w:rFonts w:ascii="Times New Roman" w:hAnsi="Times New Roman" w:cs="Times New Roman"/>
          <w:sz w:val="24"/>
          <w:szCs w:val="24"/>
        </w:rPr>
        <w:t xml:space="preserve">. Someone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tries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e-</w:t>
      </w:r>
      <w:proofErr w:type="gramStart"/>
      <w:r w:rsidR="004048C5">
        <w:rPr>
          <w:rFonts w:ascii="Times New Roman" w:hAnsi="Times New Roman" w:cs="Times New Roman"/>
          <w:sz w:val="24"/>
          <w:szCs w:val="24"/>
        </w:rPr>
        <w:t xml:space="preserve">mail 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from</w:t>
      </w:r>
      <w:proofErr w:type="spellEnd"/>
      <w:proofErr w:type="gramEnd"/>
      <w:r w:rsidRPr="00BD37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192.168.3.4.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generates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an </w:t>
      </w:r>
      <w:r w:rsidRPr="00BD3734">
        <w:rPr>
          <w:rFonts w:ascii="Times New Roman" w:hAnsi="Times New Roman" w:cs="Times New Roman"/>
          <w:sz w:val="24"/>
          <w:szCs w:val="24"/>
        </w:rPr>
        <w:t xml:space="preserve">SMTP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SMTP server on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of SMTP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commands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mail.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</w:t>
      </w:r>
      <w:r w:rsidR="004048C5">
        <w:rPr>
          <w:rFonts w:ascii="Times New Roman" w:hAnsi="Times New Roman" w:cs="Times New Roman"/>
          <w:sz w:val="24"/>
          <w:szCs w:val="24"/>
        </w:rPr>
        <w:t>ssume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8C5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tries</w:t>
      </w:r>
      <w:proofErr w:type="spellEnd"/>
      <w:proofErr w:type="gram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SMTP server on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remot</w:t>
      </w:r>
      <w:r w:rsidR="004048C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C5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8C5">
        <w:rPr>
          <w:rFonts w:ascii="Times New Roman" w:hAnsi="Times New Roman" w:cs="Times New Roman"/>
          <w:sz w:val="24"/>
          <w:szCs w:val="24"/>
        </w:rPr>
        <w:t>packets</w:t>
      </w:r>
      <w:proofErr w:type="spellEnd"/>
      <w:r w:rsidR="004048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D3734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BD3734">
        <w:rPr>
          <w:rFonts w:ascii="Times New Roman" w:hAnsi="Times New Roman" w:cs="Times New Roman"/>
          <w:sz w:val="24"/>
          <w:szCs w:val="24"/>
        </w:rPr>
        <w:t>:</w:t>
      </w:r>
    </w:p>
    <w:p w:rsidR="00BD3734" w:rsidRDefault="00BD3734" w:rsidP="00BD3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734" w:rsidRDefault="00BD3734" w:rsidP="00BD37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64945" cy="11583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860B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945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C5" w:rsidRDefault="00AE35F3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35F3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packets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denied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F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E35F3">
        <w:rPr>
          <w:rFonts w:ascii="Times New Roman" w:hAnsi="Times New Roman" w:cs="Times New Roman"/>
          <w:sz w:val="24"/>
          <w:szCs w:val="24"/>
        </w:rPr>
        <w:t>.</w:t>
      </w:r>
    </w:p>
    <w:p w:rsidR="00AE35F3" w:rsidRPr="00AE35F3" w:rsidRDefault="00AE35F3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52B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a) </w:t>
      </w:r>
      <w:proofErr w:type="spellStart"/>
      <w:r w:rsidRPr="00A2252B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A2252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252B">
        <w:rPr>
          <w:rFonts w:ascii="Times New Roman" w:hAnsi="Times New Roman" w:cs="Times New Roman"/>
          <w:sz w:val="24"/>
          <w:szCs w:val="24"/>
        </w:rPr>
        <w:t>Padula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(BLP) </w:t>
      </w:r>
      <w:r w:rsidRPr="00A2252B">
        <w:rPr>
          <w:rFonts w:ascii="Times New Roman" w:hAnsi="Times New Roman" w:cs="Times New Roman"/>
          <w:sz w:val="24"/>
          <w:szCs w:val="24"/>
        </w:rPr>
        <w:t>Güvenlik Modelinde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kullanılan üç kuralı tanımlayınız.</w:t>
      </w:r>
    </w:p>
    <w:p w:rsidR="00AE35F3" w:rsidRDefault="00A2252B" w:rsidP="00A22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52B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Aşağıdaki şekilde üst sağ köşedeki rol BLP modelindeki kuralları ihlal etmeden bir kullanıcıya </w:t>
      </w:r>
    </w:p>
    <w:p w:rsidR="00A2252B" w:rsidRDefault="00A2252B" w:rsidP="00A225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atanabilir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mi? Açıklayınız.</w:t>
      </w:r>
    </w:p>
    <w:p w:rsidR="00A2252B" w:rsidRDefault="004048C5" w:rsidP="00CD4A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292125" cy="307112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896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25" cy="307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C5" w:rsidRDefault="004048C5" w:rsidP="00CD4A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5D25" w:rsidRDefault="008A5D25" w:rsidP="00CD4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A5D25">
        <w:rPr>
          <w:rFonts w:ascii="Times New Roman" w:hAnsi="Times New Roman" w:cs="Times New Roman"/>
          <w:sz w:val="24"/>
          <w:szCs w:val="24"/>
        </w:rPr>
        <w:t>Avrupa</w:t>
      </w:r>
      <w:r>
        <w:rPr>
          <w:rFonts w:ascii="Times New Roman" w:hAnsi="Times New Roman" w:cs="Times New Roman"/>
          <w:sz w:val="24"/>
          <w:szCs w:val="24"/>
        </w:rPr>
        <w:t xml:space="preserve"> Birliği Veri Koruma Yönergesi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Directive)</w:t>
      </w:r>
    </w:p>
    <w:p w:rsidR="008A5D25" w:rsidRDefault="008A5D25" w:rsidP="00CD4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 yönergenin amacı nedir? (</w:t>
      </w:r>
      <w:r w:rsidR="000415F1">
        <w:rPr>
          <w:rFonts w:ascii="Times New Roman" w:hAnsi="Times New Roman" w:cs="Times New Roman"/>
          <w:b/>
          <w:sz w:val="24"/>
          <w:szCs w:val="24"/>
        </w:rPr>
        <w:t>4</w:t>
      </w:r>
      <w:r w:rsidRPr="008A5D2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35F3" w:rsidRDefault="008A5D25" w:rsidP="00CD4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Bu yönergede yer alan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Notice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Consistency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Access, Security,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Onward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Transfer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</w:p>
    <w:p w:rsidR="008A5D25" w:rsidRPr="008A5D25" w:rsidRDefault="008A5D25" w:rsidP="00CD4A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Enforcement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ilkelerini kısaca açıklayınız. (</w:t>
      </w:r>
      <w:r w:rsidR="000415F1">
        <w:rPr>
          <w:rFonts w:ascii="Times New Roman" w:hAnsi="Times New Roman" w:cs="Times New Roman"/>
          <w:b/>
          <w:sz w:val="24"/>
          <w:szCs w:val="24"/>
        </w:rPr>
        <w:t>21</w:t>
      </w:r>
      <w:r w:rsidRPr="008A5D25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A5D25" w:rsidRPr="008A5D25" w:rsidSect="00404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26A"/>
    <w:multiLevelType w:val="hybridMultilevel"/>
    <w:tmpl w:val="486CB038"/>
    <w:lvl w:ilvl="0" w:tplc="558C6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3899"/>
    <w:multiLevelType w:val="hybridMultilevel"/>
    <w:tmpl w:val="4CAE1F82"/>
    <w:lvl w:ilvl="0" w:tplc="28FA6D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75BF"/>
    <w:multiLevelType w:val="hybridMultilevel"/>
    <w:tmpl w:val="DBCE1B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0"/>
    <w:rsid w:val="000415F1"/>
    <w:rsid w:val="001D4977"/>
    <w:rsid w:val="004048C5"/>
    <w:rsid w:val="00584D29"/>
    <w:rsid w:val="005C284D"/>
    <w:rsid w:val="008A5D25"/>
    <w:rsid w:val="00A2252B"/>
    <w:rsid w:val="00AE35F3"/>
    <w:rsid w:val="00AE7523"/>
    <w:rsid w:val="00BD3734"/>
    <w:rsid w:val="00CD4A70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29"/>
    <w:pPr>
      <w:spacing w:after="0" w:line="240" w:lineRule="auto"/>
      <w:ind w:left="540" w:hanging="540"/>
    </w:pPr>
    <w:rPr>
      <w:rFonts w:ascii="Verdana" w:eastAsia="Times New Roman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3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29"/>
    <w:pPr>
      <w:spacing w:after="0" w:line="240" w:lineRule="auto"/>
      <w:ind w:left="540" w:hanging="540"/>
    </w:pPr>
    <w:rPr>
      <w:rFonts w:ascii="Verdana" w:eastAsia="Times New Roman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5</cp:revision>
  <dcterms:created xsi:type="dcterms:W3CDTF">2015-01-12T14:04:00Z</dcterms:created>
  <dcterms:modified xsi:type="dcterms:W3CDTF">2015-01-14T15:36:00Z</dcterms:modified>
</cp:coreProperties>
</file>